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4C" w:rsidRDefault="003F0746">
      <w:pPr>
        <w:spacing w:after="226" w:line="271" w:lineRule="auto"/>
        <w:ind w:left="20" w:right="16"/>
        <w:jc w:val="center"/>
      </w:pPr>
      <w:bookmarkStart w:id="0" w:name="_GoBack"/>
      <w:bookmarkEnd w:id="0"/>
      <w:r>
        <w:rPr>
          <w:b/>
          <w:sz w:val="36"/>
        </w:rPr>
        <w:t xml:space="preserve">ЗАКОН УКРАЇНИ </w:t>
      </w:r>
    </w:p>
    <w:p w:rsidR="00AA404C" w:rsidRDefault="003F0746">
      <w:pPr>
        <w:spacing w:after="150" w:line="271" w:lineRule="auto"/>
        <w:ind w:left="20"/>
        <w:jc w:val="center"/>
      </w:pPr>
      <w:r>
        <w:rPr>
          <w:b/>
          <w:sz w:val="36"/>
        </w:rPr>
        <w:t xml:space="preserve">Про ратифікацію Протоколів N 15 та N 16 до Конвенції про захист прав людини і основоположних свобод </w:t>
      </w:r>
    </w:p>
    <w:p w:rsidR="00AA404C" w:rsidRDefault="003F0746">
      <w:pPr>
        <w:spacing w:after="301"/>
        <w:ind w:left="-5"/>
      </w:pPr>
      <w:r>
        <w:t xml:space="preserve">Верховна Рада України </w:t>
      </w:r>
      <w:r>
        <w:rPr>
          <w:b/>
        </w:rPr>
        <w:t>постановляє</w:t>
      </w:r>
      <w:r>
        <w:t xml:space="preserve">: </w:t>
      </w:r>
    </w:p>
    <w:p w:rsidR="00AA404C" w:rsidRDefault="003F0746">
      <w:pPr>
        <w:spacing w:after="260" w:line="249" w:lineRule="auto"/>
        <w:ind w:left="-5" w:right="5926"/>
        <w:jc w:val="left"/>
      </w:pPr>
      <w:r>
        <w:rPr>
          <w:b/>
        </w:rPr>
        <w:t>Ратифікувати:</w:t>
      </w:r>
      <w:r>
        <w:t xml:space="preserve"> </w:t>
      </w:r>
    </w:p>
    <w:p w:rsidR="00AA404C" w:rsidRDefault="003F0746">
      <w:pPr>
        <w:numPr>
          <w:ilvl w:val="0"/>
          <w:numId w:val="1"/>
        </w:numPr>
      </w:pPr>
      <w:r>
        <w:t>Протокол N 15 про внесення змін до Конвенції про захист прав людини і основоположних свобод, учинений 24 червня 2013 року у м. Страсбурзі (додається), який набирає чинності в перший день місяця, що настає після закінчення тримісячного строку від дати, коли</w:t>
      </w:r>
      <w:r>
        <w:t xml:space="preserve"> всі Високі Договірні Сторони Конвенції висловили свою згоду на обов'язковість для них Протоколу, крім статті 4 Протоколу, яка набирає чинності після закінчення шести місяців з дати набрання чинності Протоколом; </w:t>
      </w:r>
    </w:p>
    <w:p w:rsidR="00AA404C" w:rsidRDefault="003F0746">
      <w:pPr>
        <w:numPr>
          <w:ilvl w:val="0"/>
          <w:numId w:val="1"/>
        </w:numPr>
      </w:pPr>
      <w:r>
        <w:t xml:space="preserve">Протокол N 16 до Конвенції про захист прав </w:t>
      </w:r>
      <w:r>
        <w:t>людини і основоположних свобод, учинений 2 жовтня 2013 року у м. Страсбурзі (додається), який набирає чинності в перший день місяця, що настає після закінчення тримісячного строку від дати, коли десять Високих Договірних Сторін Конвенції висловили свою зго</w:t>
      </w:r>
      <w:r>
        <w:t xml:space="preserve">ду на обов'язковість для них Протоколу, із такою заявою: </w:t>
      </w:r>
    </w:p>
    <w:p w:rsidR="00AA404C" w:rsidRDefault="003F0746">
      <w:pPr>
        <w:ind w:left="-5"/>
      </w:pPr>
      <w:r>
        <w:t>"Відповідно до статті 10 Протоколу N 16 до Конвенції про захист прав людини і основоположних свобод Україна заявляє, що найвищим судом, визначеним для цілей пункту 1 статті 1 цього Протоколу, є Верх</w:t>
      </w:r>
      <w:r>
        <w:t xml:space="preserve">овний Суд". </w:t>
      </w:r>
    </w:p>
    <w:p w:rsidR="00AA404C" w:rsidRDefault="003F0746">
      <w:pPr>
        <w:spacing w:after="395" w:line="259" w:lineRule="auto"/>
        <w:ind w:left="0" w:firstLine="0"/>
        <w:jc w:val="left"/>
      </w:pPr>
      <w:r>
        <w:t xml:space="preserve">  </w:t>
      </w:r>
    </w:p>
    <w:p w:rsidR="00AA404C" w:rsidRDefault="003F0746">
      <w:pPr>
        <w:tabs>
          <w:tab w:val="center" w:pos="2376"/>
          <w:tab w:val="center" w:pos="7265"/>
        </w:tabs>
        <w:spacing w:after="15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Президент України</w:t>
      </w:r>
      <w:r>
        <w:t xml:space="preserve"> </w:t>
      </w:r>
      <w:r>
        <w:tab/>
      </w:r>
      <w:r>
        <w:rPr>
          <w:b/>
        </w:rPr>
        <w:t>П. ПОРОШЕНКО</w:t>
      </w:r>
      <w:r>
        <w:t xml:space="preserve"> </w:t>
      </w:r>
    </w:p>
    <w:p w:rsidR="00AA404C" w:rsidRDefault="003F0746">
      <w:pPr>
        <w:tabs>
          <w:tab w:val="center" w:pos="2374"/>
          <w:tab w:val="center" w:pos="7235"/>
        </w:tabs>
        <w:spacing w:after="45" w:line="24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м. Київ </w:t>
      </w:r>
      <w:r>
        <w:t xml:space="preserve"> </w:t>
      </w:r>
      <w:r>
        <w:tab/>
        <w:t xml:space="preserve">  </w:t>
      </w:r>
    </w:p>
    <w:p w:rsidR="00AA404C" w:rsidRDefault="003F0746">
      <w:pPr>
        <w:spacing w:after="350" w:line="249" w:lineRule="auto"/>
        <w:ind w:left="1752" w:right="5926" w:hanging="430"/>
        <w:jc w:val="left"/>
      </w:pPr>
      <w:r>
        <w:rPr>
          <w:b/>
        </w:rPr>
        <w:t xml:space="preserve">5 жовтня 2017 </w:t>
      </w:r>
      <w:proofErr w:type="gramStart"/>
      <w:r>
        <w:rPr>
          <w:b/>
        </w:rPr>
        <w:t xml:space="preserve">року </w:t>
      </w:r>
      <w:r>
        <w:t xml:space="preserve"> </w:t>
      </w:r>
      <w:r>
        <w:rPr>
          <w:b/>
        </w:rPr>
        <w:t>N</w:t>
      </w:r>
      <w:proofErr w:type="gramEnd"/>
      <w:r>
        <w:rPr>
          <w:b/>
        </w:rPr>
        <w:t xml:space="preserve"> 2156-VIII</w:t>
      </w:r>
      <w:r>
        <w:t xml:space="preserve"> </w:t>
      </w:r>
    </w:p>
    <w:p w:rsidR="00AA404C" w:rsidRDefault="003F0746">
      <w:pPr>
        <w:spacing w:after="255" w:line="259" w:lineRule="auto"/>
        <w:ind w:left="0" w:firstLine="0"/>
        <w:jc w:val="left"/>
      </w:pPr>
      <w:r>
        <w:t xml:space="preserve"> </w:t>
      </w:r>
    </w:p>
    <w:p w:rsidR="00AA404C" w:rsidRDefault="003F0746">
      <w:pPr>
        <w:spacing w:after="292" w:line="259" w:lineRule="auto"/>
        <w:ind w:left="0" w:firstLine="0"/>
        <w:jc w:val="left"/>
      </w:pPr>
      <w:r>
        <w:t xml:space="preserve"> </w:t>
      </w:r>
    </w:p>
    <w:p w:rsidR="00AA404C" w:rsidRDefault="003F0746">
      <w:pPr>
        <w:spacing w:after="251" w:line="259" w:lineRule="auto"/>
        <w:ind w:left="63" w:firstLine="0"/>
        <w:jc w:val="center"/>
      </w:pPr>
      <w:r>
        <w:rPr>
          <w:b/>
          <w:sz w:val="27"/>
        </w:rPr>
        <w:t xml:space="preserve"> </w:t>
      </w:r>
    </w:p>
    <w:p w:rsidR="00AA404C" w:rsidRDefault="003F0746">
      <w:pPr>
        <w:spacing w:after="251" w:line="259" w:lineRule="auto"/>
        <w:ind w:left="63" w:firstLine="0"/>
        <w:jc w:val="center"/>
      </w:pPr>
      <w:r>
        <w:rPr>
          <w:b/>
          <w:sz w:val="27"/>
        </w:rPr>
        <w:t xml:space="preserve"> </w:t>
      </w:r>
    </w:p>
    <w:p w:rsidR="00AA404C" w:rsidRDefault="003F0746">
      <w:pPr>
        <w:spacing w:after="251" w:line="259" w:lineRule="auto"/>
        <w:ind w:left="63" w:firstLine="0"/>
        <w:jc w:val="center"/>
      </w:pPr>
      <w:r>
        <w:rPr>
          <w:b/>
          <w:sz w:val="27"/>
        </w:rPr>
        <w:t xml:space="preserve"> </w:t>
      </w:r>
    </w:p>
    <w:p w:rsidR="00AA404C" w:rsidRDefault="003F0746">
      <w:pPr>
        <w:spacing w:after="251" w:line="259" w:lineRule="auto"/>
        <w:ind w:left="63" w:firstLine="0"/>
        <w:jc w:val="center"/>
      </w:pPr>
      <w:r>
        <w:rPr>
          <w:b/>
          <w:sz w:val="27"/>
        </w:rPr>
        <w:t xml:space="preserve"> </w:t>
      </w:r>
    </w:p>
    <w:p w:rsidR="00AA404C" w:rsidRDefault="003F0746">
      <w:pPr>
        <w:spacing w:after="251" w:line="259" w:lineRule="auto"/>
        <w:ind w:left="63" w:firstLine="0"/>
        <w:jc w:val="center"/>
      </w:pPr>
      <w:r>
        <w:rPr>
          <w:b/>
          <w:sz w:val="27"/>
        </w:rPr>
        <w:t xml:space="preserve"> </w:t>
      </w:r>
    </w:p>
    <w:p w:rsidR="00AA404C" w:rsidRDefault="003F0746">
      <w:pPr>
        <w:spacing w:after="251" w:line="259" w:lineRule="auto"/>
        <w:ind w:left="63" w:firstLine="0"/>
        <w:jc w:val="center"/>
      </w:pPr>
      <w:r>
        <w:rPr>
          <w:b/>
          <w:sz w:val="27"/>
        </w:rPr>
        <w:t xml:space="preserve"> </w:t>
      </w:r>
    </w:p>
    <w:p w:rsidR="00AA404C" w:rsidRDefault="003F0746">
      <w:pPr>
        <w:spacing w:after="0" w:line="259" w:lineRule="auto"/>
        <w:ind w:left="63" w:firstLine="0"/>
        <w:jc w:val="center"/>
      </w:pPr>
      <w:r>
        <w:rPr>
          <w:b/>
          <w:sz w:val="27"/>
        </w:rPr>
        <w:lastRenderedPageBreak/>
        <w:t xml:space="preserve"> </w:t>
      </w:r>
    </w:p>
    <w:p w:rsidR="00AA404C" w:rsidRDefault="003F0746">
      <w:pPr>
        <w:spacing w:after="250" w:line="268" w:lineRule="auto"/>
        <w:ind w:right="6"/>
        <w:jc w:val="center"/>
      </w:pPr>
      <w:r>
        <w:rPr>
          <w:b/>
          <w:sz w:val="27"/>
        </w:rPr>
        <w:t xml:space="preserve">ПРОТОКОЛ N 15 про внесення змін до Конвенції про захист прав людини і основоположних свобод </w:t>
      </w:r>
    </w:p>
    <w:p w:rsidR="00AA404C" w:rsidRDefault="003F0746">
      <w:pPr>
        <w:spacing w:after="338"/>
        <w:ind w:left="-5"/>
      </w:pPr>
      <w:r>
        <w:t xml:space="preserve">Офіційний переклад. </w:t>
      </w:r>
    </w:p>
    <w:p w:rsidR="00AA404C" w:rsidRDefault="003F0746">
      <w:pPr>
        <w:pStyle w:val="1"/>
        <w:ind w:right="7"/>
      </w:pPr>
      <w:r>
        <w:t xml:space="preserve">Преамбула </w:t>
      </w:r>
    </w:p>
    <w:p w:rsidR="00AA404C" w:rsidRDefault="003F0746">
      <w:pPr>
        <w:ind w:left="-5"/>
      </w:pPr>
      <w:r>
        <w:t>Держави-</w:t>
      </w:r>
      <w:r>
        <w:t xml:space="preserve">члени </w:t>
      </w:r>
      <w:proofErr w:type="gramStart"/>
      <w:r>
        <w:t>Ради</w:t>
      </w:r>
      <w:proofErr w:type="gramEnd"/>
      <w:r>
        <w:t xml:space="preserve"> Європи та інші Високі Договірні Сторони Конвенції про захист прав людини і основоположних свобод, підписаної у Римі 4 листопада 1950 року (далі - Конвенція), які підписали цей Протокол, </w:t>
      </w:r>
    </w:p>
    <w:p w:rsidR="00AA404C" w:rsidRDefault="003F0746">
      <w:pPr>
        <w:spacing w:after="287"/>
        <w:ind w:left="-5"/>
      </w:pPr>
      <w:r>
        <w:t>беручи до уваги декларацію, прийняту на Конференції високо</w:t>
      </w:r>
      <w:r>
        <w:t>го рівня про майбутнє Європейського суду з прав людини, яка була проведена у Брайтоні 19 та 20 квітня 2012 року, а також декларації, прийняті на конференціях, які були проведені в Інтерлакені 18 і 19 лютого 2010 року та Ізмірі 26 та 27 квітня 2011 року; бе</w:t>
      </w:r>
      <w:r>
        <w:t xml:space="preserve">ручи до уваги Висновок N 283 (2013), прийнятий Парламентською Асамблеєю Ради Європи 26 квітня 2013 року; </w:t>
      </w:r>
    </w:p>
    <w:p w:rsidR="00AA404C" w:rsidRDefault="003F0746">
      <w:pPr>
        <w:spacing w:after="186" w:line="399" w:lineRule="auto"/>
        <w:ind w:left="-5"/>
      </w:pPr>
      <w:r>
        <w:t>враховуючи необхідність забезпечення того, щоб Європейський суд з прав людини (далі - Суд) міг продовжувати відігравати свою провідну роль у захисті п</w:t>
      </w:r>
      <w:r>
        <w:t xml:space="preserve">рав людини в Європі, домовилися про таке: </w:t>
      </w:r>
    </w:p>
    <w:p w:rsidR="00AA404C" w:rsidRDefault="003F0746">
      <w:pPr>
        <w:pStyle w:val="1"/>
        <w:ind w:right="11"/>
      </w:pPr>
      <w:r>
        <w:t xml:space="preserve">Стаття 1 </w:t>
      </w:r>
    </w:p>
    <w:p w:rsidR="00AA404C" w:rsidRDefault="003F0746">
      <w:pPr>
        <w:ind w:left="-5"/>
      </w:pPr>
      <w:r>
        <w:t xml:space="preserve">У кінці преамбули Конвенції додається новий абзац у такій редакції: </w:t>
      </w:r>
    </w:p>
    <w:p w:rsidR="00AA404C" w:rsidRDefault="003F0746">
      <w:pPr>
        <w:spacing w:after="340"/>
        <w:ind w:left="-5"/>
      </w:pPr>
      <w:r>
        <w:t>"Підтверджуючи, що Високі Договірні Сторони, відповідно до принципу субсидіарності, несуть основну відповідальність за забезпечення прав і свобод, визначених у цій Конвенції та протоколах до неї, користуються при цьому свободою розсуду, яка є предметом юри</w:t>
      </w:r>
      <w:r>
        <w:t xml:space="preserve">сдикції Європейського суду з прав людини, створеного цією Конвенцією, щодо здійснення нагляду,". </w:t>
      </w:r>
    </w:p>
    <w:p w:rsidR="00AA404C" w:rsidRDefault="003F0746">
      <w:pPr>
        <w:pStyle w:val="1"/>
        <w:ind w:right="11"/>
      </w:pPr>
      <w:r>
        <w:t xml:space="preserve">Стаття 2 </w:t>
      </w:r>
    </w:p>
    <w:p w:rsidR="00AA404C" w:rsidRDefault="003F0746">
      <w:pPr>
        <w:numPr>
          <w:ilvl w:val="0"/>
          <w:numId w:val="2"/>
        </w:numPr>
        <w:ind w:hanging="240"/>
      </w:pPr>
      <w:r>
        <w:t xml:space="preserve">Стаття 21 Конвенції доповнюється новим пунктом 2 у такій редакції: </w:t>
      </w:r>
    </w:p>
    <w:p w:rsidR="00AA404C" w:rsidRDefault="003F0746">
      <w:pPr>
        <w:spacing w:after="289"/>
        <w:ind w:left="-5"/>
      </w:pPr>
      <w:r>
        <w:t>"Вік кандидатів повинен бути менше 65 років на день звернення Парламентської аса</w:t>
      </w:r>
      <w:r>
        <w:t xml:space="preserve">мблеї за списком з трьох кандидатів відповідно до статті 22.". </w:t>
      </w:r>
    </w:p>
    <w:p w:rsidR="00AA404C" w:rsidRDefault="003F0746">
      <w:pPr>
        <w:numPr>
          <w:ilvl w:val="0"/>
          <w:numId w:val="2"/>
        </w:numPr>
        <w:ind w:hanging="240"/>
      </w:pPr>
      <w:r>
        <w:t xml:space="preserve">Пункти 2 і 3 статті 21 Конвенції вважаються пунктами 3 і 4 статті 21 відповідно. </w:t>
      </w:r>
    </w:p>
    <w:p w:rsidR="00AA404C" w:rsidRDefault="003F0746">
      <w:pPr>
        <w:numPr>
          <w:ilvl w:val="0"/>
          <w:numId w:val="2"/>
        </w:numPr>
        <w:spacing w:after="335"/>
        <w:ind w:hanging="240"/>
      </w:pPr>
      <w:r>
        <w:t>Пункт 2 статті 23 Конвенції вилучається. Пункти 3 і 4 статті 23 вважаються пунктами 2 і 3 статті 23 відповідно</w:t>
      </w:r>
      <w:r>
        <w:t xml:space="preserve">. </w:t>
      </w:r>
    </w:p>
    <w:p w:rsidR="00AA404C" w:rsidRDefault="003F0746">
      <w:pPr>
        <w:pStyle w:val="1"/>
        <w:spacing w:after="205"/>
        <w:ind w:right="11"/>
      </w:pPr>
      <w:r>
        <w:t xml:space="preserve">Стаття 3 </w:t>
      </w:r>
    </w:p>
    <w:p w:rsidR="00AA404C" w:rsidRDefault="003F0746">
      <w:pPr>
        <w:spacing w:after="332"/>
        <w:ind w:left="-5"/>
      </w:pPr>
      <w:r>
        <w:t xml:space="preserve">У статті 30 Конвенції слова "якщо жодна зі сторін у справі не заперечує проти цього" вилучаються. </w:t>
      </w:r>
    </w:p>
    <w:p w:rsidR="00AA404C" w:rsidRDefault="003F0746">
      <w:pPr>
        <w:pStyle w:val="1"/>
        <w:ind w:right="11"/>
      </w:pPr>
      <w:r>
        <w:lastRenderedPageBreak/>
        <w:t xml:space="preserve">Стаття 4 </w:t>
      </w:r>
    </w:p>
    <w:p w:rsidR="00AA404C" w:rsidRDefault="003F0746">
      <w:pPr>
        <w:spacing w:after="335"/>
        <w:ind w:left="-5"/>
      </w:pPr>
      <w:r>
        <w:t xml:space="preserve">У пункті 1 статті 35 Конвенції слова "впродовж шести місяців" замінюються словами "впродовж чотирьох місяців". </w:t>
      </w:r>
    </w:p>
    <w:p w:rsidR="00AA404C" w:rsidRDefault="003F0746">
      <w:pPr>
        <w:pStyle w:val="1"/>
        <w:ind w:right="11"/>
      </w:pPr>
      <w:r>
        <w:t xml:space="preserve">Стаття 5 </w:t>
      </w:r>
    </w:p>
    <w:p w:rsidR="00AA404C" w:rsidRDefault="003F0746">
      <w:pPr>
        <w:spacing w:after="300"/>
        <w:ind w:left="-5"/>
      </w:pPr>
      <w:r>
        <w:t>У підпункті "b"</w:t>
      </w:r>
      <w:r>
        <w:rPr>
          <w:i/>
        </w:rPr>
        <w:t xml:space="preserve"> </w:t>
      </w:r>
      <w:r>
        <w:t xml:space="preserve">пункту 3 статті 35 Конвенції слова "а також за умови, що на цій підставі не може бути відхилена жодна справа, яку національний суд не розглянув належним чином" вилучаються. </w:t>
      </w:r>
    </w:p>
    <w:p w:rsidR="00AA404C" w:rsidRDefault="003F0746">
      <w:pPr>
        <w:spacing w:after="342" w:line="259" w:lineRule="auto"/>
        <w:ind w:right="10"/>
        <w:jc w:val="center"/>
      </w:pPr>
      <w:r>
        <w:rPr>
          <w:b/>
        </w:rPr>
        <w:t>Прикінцеві та перехідні положення</w:t>
      </w:r>
      <w:r>
        <w:t xml:space="preserve"> </w:t>
      </w:r>
    </w:p>
    <w:p w:rsidR="00AA404C" w:rsidRDefault="003F0746">
      <w:pPr>
        <w:pStyle w:val="1"/>
        <w:spacing w:after="205"/>
        <w:ind w:right="11"/>
      </w:pPr>
      <w:r>
        <w:t xml:space="preserve">Стаття 6 </w:t>
      </w:r>
    </w:p>
    <w:p w:rsidR="00AA404C" w:rsidRDefault="003F0746">
      <w:pPr>
        <w:spacing w:after="291"/>
        <w:ind w:left="-5"/>
      </w:pPr>
      <w:r>
        <w:t>1. Цей Протокол відкр</w:t>
      </w:r>
      <w:r>
        <w:t xml:space="preserve">итий для підписання Високими Договірними Сторонами Конвенції, які можуть висловити свою згоду на обов'язковість шляхом: </w:t>
      </w:r>
    </w:p>
    <w:p w:rsidR="00AA404C" w:rsidRDefault="003F0746">
      <w:pPr>
        <w:numPr>
          <w:ilvl w:val="0"/>
          <w:numId w:val="3"/>
        </w:numPr>
        <w:ind w:hanging="226"/>
      </w:pPr>
      <w:r>
        <w:t xml:space="preserve">підписання без застережень щодо ратифікації, прийняття чи схвалення; або </w:t>
      </w:r>
    </w:p>
    <w:p w:rsidR="00AA404C" w:rsidRDefault="003F0746">
      <w:pPr>
        <w:numPr>
          <w:ilvl w:val="0"/>
          <w:numId w:val="3"/>
        </w:numPr>
        <w:ind w:hanging="226"/>
      </w:pPr>
      <w:r>
        <w:t xml:space="preserve">підписання, що підлягає ратифікації, прийняттю чи схваленню, з подальшою ратифікацією, прийняттям чи схваленням. </w:t>
      </w:r>
    </w:p>
    <w:p w:rsidR="00AA404C" w:rsidRDefault="003F0746">
      <w:pPr>
        <w:spacing w:after="335"/>
        <w:ind w:left="-5"/>
      </w:pPr>
      <w:r>
        <w:t xml:space="preserve">2. Ратифікаційні грамоти або документи про прийняття чи схвалення передаються на зберігання Генеральному секретареві </w:t>
      </w:r>
      <w:proofErr w:type="gramStart"/>
      <w:r>
        <w:t>Ради</w:t>
      </w:r>
      <w:proofErr w:type="gramEnd"/>
      <w:r>
        <w:t xml:space="preserve"> Європи. </w:t>
      </w:r>
    </w:p>
    <w:p w:rsidR="00AA404C" w:rsidRDefault="003F0746">
      <w:pPr>
        <w:pStyle w:val="1"/>
        <w:spacing w:after="205"/>
        <w:ind w:right="11"/>
      </w:pPr>
      <w:r>
        <w:t xml:space="preserve">Стаття 7 </w:t>
      </w:r>
    </w:p>
    <w:p w:rsidR="00AA404C" w:rsidRDefault="003F0746">
      <w:pPr>
        <w:spacing w:after="335"/>
        <w:ind w:left="-5"/>
      </w:pPr>
      <w:r>
        <w:t>Ц</w:t>
      </w:r>
      <w:r>
        <w:t xml:space="preserve">ей Протокол набирає чинності в перший день місяця, що настає після закінчення тримісячного строку від дати, коли всі Високі Договірні Сторони Конвенції висловили свою згоду на обов'язковість для них цього Протоколу згідно з положеннями статті 6. </w:t>
      </w:r>
    </w:p>
    <w:p w:rsidR="00AA404C" w:rsidRDefault="003F0746">
      <w:pPr>
        <w:pStyle w:val="1"/>
        <w:spacing w:after="205"/>
        <w:ind w:right="11"/>
      </w:pPr>
      <w:r>
        <w:t xml:space="preserve">Стаття 8 </w:t>
      </w:r>
    </w:p>
    <w:p w:rsidR="00AA404C" w:rsidRDefault="003F0746">
      <w:pPr>
        <w:numPr>
          <w:ilvl w:val="0"/>
          <w:numId w:val="4"/>
        </w:numPr>
        <w:spacing w:after="294"/>
      </w:pPr>
      <w:r>
        <w:t xml:space="preserve">Зміни, внесені статтею 2 цього Протоколу, застосовуються лише до кандидатів за списками, поданими до Парламентської Асамблеї Ради Європи Високими Договірними Сторонами на підставі статті 22 Конвенції після набрання чинності цим Протоколом. </w:t>
      </w:r>
    </w:p>
    <w:p w:rsidR="00AA404C" w:rsidRDefault="003F0746">
      <w:pPr>
        <w:numPr>
          <w:ilvl w:val="0"/>
          <w:numId w:val="4"/>
        </w:numPr>
      </w:pPr>
      <w:r>
        <w:t>Зміна, внесена</w:t>
      </w:r>
      <w:r>
        <w:t xml:space="preserve"> статтею 3 цього Протоколу, не застосовується до будь-якої справи, що перебуває у провадженні та у якій одна зі сторін заперечила проти рішення Палати Суду відмовитися від розгляду справи на користь Великої Палати до дати набрання чинності цим Протоколом. </w:t>
      </w:r>
    </w:p>
    <w:p w:rsidR="00AA404C" w:rsidRDefault="003F0746">
      <w:pPr>
        <w:numPr>
          <w:ilvl w:val="0"/>
          <w:numId w:val="4"/>
        </w:numPr>
      </w:pPr>
      <w:r>
        <w:t>Стаття 4 цього Протоколу набирає чинності після закінчення шести місяців з дати набрання чинності цим Протоколом. Стаття 4 цього Протоколу не застосовується до заяв, щодо яких було ухвалено остаточне рішення у розумінні пункту 1 статті 35 Конвенції до дат</w:t>
      </w:r>
      <w:r>
        <w:t xml:space="preserve">и набрання чинності статтею 4 цього Протоколу. </w:t>
      </w:r>
    </w:p>
    <w:p w:rsidR="00AA404C" w:rsidRDefault="003F0746">
      <w:pPr>
        <w:numPr>
          <w:ilvl w:val="0"/>
          <w:numId w:val="4"/>
        </w:numPr>
        <w:spacing w:after="335"/>
      </w:pPr>
      <w:r>
        <w:lastRenderedPageBreak/>
        <w:t xml:space="preserve">Усі інші положення цього Протоколу застосовуються з дати набрання ним чинності відповідно до положень статті 7. </w:t>
      </w:r>
    </w:p>
    <w:p w:rsidR="00AA404C" w:rsidRDefault="003F0746">
      <w:pPr>
        <w:pStyle w:val="1"/>
        <w:ind w:right="11"/>
      </w:pPr>
      <w:r>
        <w:t xml:space="preserve">Стаття 9 </w:t>
      </w:r>
    </w:p>
    <w:p w:rsidR="00AA404C" w:rsidRDefault="003F0746">
      <w:pPr>
        <w:ind w:left="-5"/>
      </w:pPr>
      <w:r>
        <w:t xml:space="preserve">Генеральний секретар </w:t>
      </w:r>
      <w:proofErr w:type="gramStart"/>
      <w:r>
        <w:t>Ради</w:t>
      </w:r>
      <w:proofErr w:type="gramEnd"/>
      <w:r>
        <w:t xml:space="preserve"> Європи повідомляє всі держави - члени Ради Європи та інші В</w:t>
      </w:r>
      <w:r>
        <w:t xml:space="preserve">исокі Договірні Сторони Конвенції про: </w:t>
      </w:r>
    </w:p>
    <w:p w:rsidR="00AA404C" w:rsidRDefault="003F0746">
      <w:pPr>
        <w:numPr>
          <w:ilvl w:val="0"/>
          <w:numId w:val="5"/>
        </w:numPr>
        <w:spacing w:after="294"/>
        <w:ind w:hanging="240"/>
      </w:pPr>
      <w:r>
        <w:t xml:space="preserve">будь-яке підписання; </w:t>
      </w:r>
    </w:p>
    <w:p w:rsidR="00AA404C" w:rsidRDefault="003F0746">
      <w:pPr>
        <w:numPr>
          <w:ilvl w:val="0"/>
          <w:numId w:val="5"/>
        </w:numPr>
        <w:spacing w:after="289"/>
        <w:ind w:hanging="240"/>
      </w:pPr>
      <w:r>
        <w:t xml:space="preserve">депонування будь-якої ратифікаційної грамоти чи будь-якого документу про прийняття або схвалення; </w:t>
      </w:r>
    </w:p>
    <w:p w:rsidR="00AA404C" w:rsidRDefault="003F0746">
      <w:pPr>
        <w:numPr>
          <w:ilvl w:val="0"/>
          <w:numId w:val="5"/>
        </w:numPr>
        <w:spacing w:after="294"/>
        <w:ind w:hanging="240"/>
      </w:pPr>
      <w:r>
        <w:t xml:space="preserve">дату набрання чинності цим Протоколом згідно зі статтею 7; та </w:t>
      </w:r>
    </w:p>
    <w:p w:rsidR="00AA404C" w:rsidRDefault="003F0746">
      <w:pPr>
        <w:numPr>
          <w:ilvl w:val="0"/>
          <w:numId w:val="5"/>
        </w:numPr>
        <w:ind w:hanging="240"/>
      </w:pPr>
      <w:r>
        <w:t xml:space="preserve">будь-яку іншу дію, повідомлення </w:t>
      </w:r>
      <w:r>
        <w:t xml:space="preserve">чи сповіщення, що стосуються цього Протоколу. </w:t>
      </w:r>
    </w:p>
    <w:p w:rsidR="00AA404C" w:rsidRDefault="003F0746">
      <w:pPr>
        <w:ind w:left="-5"/>
      </w:pPr>
      <w:r>
        <w:t xml:space="preserve">На посвідчення чого ті, що підписалися нижче, належним чином на те уповноважені, підписали цей Протокол. </w:t>
      </w:r>
    </w:p>
    <w:p w:rsidR="00AA404C" w:rsidRDefault="003F0746">
      <w:pPr>
        <w:ind w:left="-5"/>
      </w:pPr>
      <w:r>
        <w:t>Учинено у м. Страсбурзі 24 червня 2013 року англійською і французькою мовами, при цьому обидва тексти є</w:t>
      </w:r>
      <w:r>
        <w:t xml:space="preserve"> рівно автентичними, в одному примірнику, який зберігається в архіві </w:t>
      </w:r>
      <w:proofErr w:type="gramStart"/>
      <w:r>
        <w:t>Ради</w:t>
      </w:r>
      <w:proofErr w:type="gramEnd"/>
      <w:r>
        <w:t xml:space="preserve"> Європи. Генеральний секретар </w:t>
      </w:r>
      <w:proofErr w:type="gramStart"/>
      <w:r>
        <w:t>Ради</w:t>
      </w:r>
      <w:proofErr w:type="gramEnd"/>
      <w:r>
        <w:t xml:space="preserve"> Європи надсилає засвідчені копії цього Протоколу кожній державі - члену Ради Європи та іншим Високим Договірним Сторонам Конвенції. </w:t>
      </w:r>
    </w:p>
    <w:p w:rsidR="00AA404C" w:rsidRDefault="003F0746">
      <w:pPr>
        <w:spacing w:after="349" w:line="259" w:lineRule="auto"/>
        <w:ind w:left="0" w:firstLine="0"/>
        <w:jc w:val="left"/>
      </w:pPr>
      <w:r>
        <w:t xml:space="preserve">  </w:t>
      </w:r>
    </w:p>
    <w:p w:rsidR="00AA404C" w:rsidRDefault="003F0746">
      <w:pPr>
        <w:spacing w:after="250" w:line="268" w:lineRule="auto"/>
        <w:ind w:right="6"/>
        <w:jc w:val="center"/>
      </w:pPr>
      <w:r>
        <w:rPr>
          <w:b/>
          <w:sz w:val="27"/>
        </w:rPr>
        <w:t xml:space="preserve">ПРОТОКОЛ N 16 до Конвенції про захист прав людини і основоположних свобод </w:t>
      </w:r>
    </w:p>
    <w:p w:rsidR="00AA404C" w:rsidRDefault="003F0746">
      <w:pPr>
        <w:spacing w:after="338"/>
        <w:ind w:left="-5"/>
      </w:pPr>
      <w:r>
        <w:t xml:space="preserve">Офіційний переклад. </w:t>
      </w:r>
    </w:p>
    <w:p w:rsidR="00AA404C" w:rsidRDefault="003F0746">
      <w:pPr>
        <w:pStyle w:val="1"/>
        <w:ind w:right="7"/>
      </w:pPr>
      <w:r>
        <w:t xml:space="preserve">Преамбула </w:t>
      </w:r>
    </w:p>
    <w:p w:rsidR="00AA404C" w:rsidRDefault="003F0746">
      <w:pPr>
        <w:spacing w:after="177" w:line="328" w:lineRule="auto"/>
        <w:ind w:left="-5"/>
      </w:pPr>
      <w:r>
        <w:t xml:space="preserve">Держави - члени </w:t>
      </w:r>
      <w:proofErr w:type="gramStart"/>
      <w:r>
        <w:t>Ради</w:t>
      </w:r>
      <w:proofErr w:type="gramEnd"/>
      <w:r>
        <w:t xml:space="preserve"> Європи та інші Високі Договірні Сторони Конвенції про захист прав людини і основоположних свобод, підписаної в Римі 4 листопада </w:t>
      </w:r>
      <w:r>
        <w:t xml:space="preserve">1950 року (далі - Конвенція), які підписали цей Протокол, беручи до уваги положення Конвенції та, зокрема, статтю 19 про створення Європейського суду з прав людини (далі - Суд); </w:t>
      </w:r>
    </w:p>
    <w:p w:rsidR="00AA404C" w:rsidRDefault="003F0746">
      <w:pPr>
        <w:spacing w:after="15"/>
        <w:ind w:left="-5"/>
      </w:pPr>
      <w:r>
        <w:t>зважаючи на розширення компетенції Суду щодо надання консультативних висновкі</w:t>
      </w:r>
      <w:r>
        <w:t xml:space="preserve">в, що додатково сприятиме посиленню взаємодії між Судом та національними органами влади і таким чином підтримуватиме виконання Конвенції у відповідності з принципом </w:t>
      </w:r>
    </w:p>
    <w:p w:rsidR="00AA404C" w:rsidRDefault="003F0746">
      <w:pPr>
        <w:spacing w:after="154" w:line="426" w:lineRule="auto"/>
        <w:ind w:left="-5"/>
      </w:pPr>
      <w:r>
        <w:t xml:space="preserve">субсидіарності; беручи до уваги Висновок N 285 (2013), ухвалений Парламентською Асамблеєю </w:t>
      </w:r>
      <w:r>
        <w:t xml:space="preserve">Ради Європи 28 червня 2013 року, домовилися про таке: </w:t>
      </w:r>
    </w:p>
    <w:p w:rsidR="00AA404C" w:rsidRDefault="003F0746">
      <w:pPr>
        <w:pStyle w:val="1"/>
        <w:ind w:right="11"/>
      </w:pPr>
      <w:r>
        <w:lastRenderedPageBreak/>
        <w:t xml:space="preserve">Стаття 1 </w:t>
      </w:r>
    </w:p>
    <w:p w:rsidR="00AA404C" w:rsidRDefault="003F0746">
      <w:pPr>
        <w:numPr>
          <w:ilvl w:val="0"/>
          <w:numId w:val="6"/>
        </w:numPr>
      </w:pPr>
      <w:r>
        <w:t>Вищі судові установи Високої Договірної Сторони, як визначено відповідно до статті 10, можуть звертатися до Суду щодо надання консультативних висновків з принципових питань, які стосуються тл</w:t>
      </w:r>
      <w:r>
        <w:t xml:space="preserve">умачення або застосування прав і свобод, визначених Конвенцією або протоколами до неї; </w:t>
      </w:r>
    </w:p>
    <w:p w:rsidR="00AA404C" w:rsidRDefault="003F0746">
      <w:pPr>
        <w:numPr>
          <w:ilvl w:val="0"/>
          <w:numId w:val="6"/>
        </w:numPr>
      </w:pPr>
      <w:r>
        <w:t xml:space="preserve">Суд та судова установа, яка звертається із запитом, може отримати консультативний висновок лише у тому випадку, якщо справа перебуває у його провадженні; </w:t>
      </w:r>
    </w:p>
    <w:p w:rsidR="00AA404C" w:rsidRDefault="003F0746">
      <w:pPr>
        <w:numPr>
          <w:ilvl w:val="0"/>
          <w:numId w:val="6"/>
        </w:numPr>
        <w:spacing w:after="338"/>
      </w:pPr>
      <w:r>
        <w:t>Суд та судова</w:t>
      </w:r>
      <w:r>
        <w:t xml:space="preserve"> установа, яка звертається із запитом, зазначає причини свого запиту і надає інформацію щодо відповідних юридичних та фактичних обставин справи, яка перебуває у провадженні. </w:t>
      </w:r>
    </w:p>
    <w:p w:rsidR="00AA404C" w:rsidRDefault="003F0746">
      <w:pPr>
        <w:pStyle w:val="1"/>
        <w:spacing w:after="205"/>
        <w:ind w:right="11"/>
      </w:pPr>
      <w:r>
        <w:t xml:space="preserve">Стаття 2 </w:t>
      </w:r>
    </w:p>
    <w:p w:rsidR="00AA404C" w:rsidRDefault="003F0746">
      <w:pPr>
        <w:numPr>
          <w:ilvl w:val="0"/>
          <w:numId w:val="7"/>
        </w:numPr>
        <w:spacing w:after="289"/>
        <w:ind w:hanging="240"/>
      </w:pPr>
      <w:r>
        <w:t>Колегія у складі п'яти суддів Великої Палати вирішує, чи приймати запит</w:t>
      </w:r>
      <w:r>
        <w:t xml:space="preserve"> щодо надання консультативного висновку беручи до уваги статтю 1. Колегія суддів мотивує будь-яку відмову у прийнятті запиту. </w:t>
      </w:r>
    </w:p>
    <w:p w:rsidR="00AA404C" w:rsidRDefault="003F0746">
      <w:pPr>
        <w:numPr>
          <w:ilvl w:val="0"/>
          <w:numId w:val="7"/>
        </w:numPr>
        <w:ind w:hanging="240"/>
      </w:pPr>
      <w:r>
        <w:t xml:space="preserve">Якщо колегія суддів приймає запит, Велика Палата Суду надає консультативний висновок. </w:t>
      </w:r>
    </w:p>
    <w:p w:rsidR="00AA404C" w:rsidRDefault="003F0746">
      <w:pPr>
        <w:numPr>
          <w:ilvl w:val="0"/>
          <w:numId w:val="7"/>
        </w:numPr>
        <w:spacing w:after="339"/>
        <w:ind w:hanging="240"/>
      </w:pPr>
      <w:r>
        <w:t xml:space="preserve">До складу колегії суддів та Великої Палати, зазначених у попередніх пунктах, входить ex officio суддя, обраний від Високої Договірної Сторони, до якої належить суд чи судова установа, що звертається із запитом. У разі відсутності такого судді або якщо він </w:t>
      </w:r>
      <w:r>
        <w:t xml:space="preserve">не може брати участь у засіданнях, Голова Суду вибирає зі списку, поданого заздалегідь цією Стороною, особу, яка засідає як суддя. </w:t>
      </w:r>
    </w:p>
    <w:p w:rsidR="00AA404C" w:rsidRDefault="003F0746">
      <w:pPr>
        <w:pStyle w:val="1"/>
        <w:spacing w:after="205"/>
        <w:ind w:right="11"/>
      </w:pPr>
      <w:r>
        <w:t xml:space="preserve">Стаття 3 </w:t>
      </w:r>
    </w:p>
    <w:p w:rsidR="00AA404C" w:rsidRDefault="003F0746">
      <w:pPr>
        <w:spacing w:after="334"/>
        <w:ind w:left="-5"/>
      </w:pPr>
      <w:r>
        <w:t>Комісар Ради Європи з прав людини і Висока Договірна Сторона, до якої належить судова установа, що звертається із запитом, мають право подавати свої письмові зауваження і брати участь у будь-якому слуханні. Голова Суду, в інтересах належного здійснення пра</w:t>
      </w:r>
      <w:r>
        <w:t xml:space="preserve">восуддя, може запропонувати будь-якій іншій Високій Договірній Стороні або особі також подати свої письмові зауваження або взяти участь у будь-якому слуханні. </w:t>
      </w:r>
    </w:p>
    <w:p w:rsidR="00AA404C" w:rsidRDefault="003F0746">
      <w:pPr>
        <w:pStyle w:val="1"/>
        <w:ind w:right="11"/>
      </w:pPr>
      <w:r>
        <w:t xml:space="preserve">Стаття 4 </w:t>
      </w:r>
    </w:p>
    <w:p w:rsidR="00AA404C" w:rsidRDefault="003F0746">
      <w:pPr>
        <w:numPr>
          <w:ilvl w:val="0"/>
          <w:numId w:val="8"/>
        </w:numPr>
        <w:spacing w:after="294"/>
        <w:ind w:hanging="240"/>
      </w:pPr>
      <w:r>
        <w:t xml:space="preserve">Консультативні висновки повинні бути вмотивовані. </w:t>
      </w:r>
    </w:p>
    <w:p w:rsidR="00AA404C" w:rsidRDefault="003F0746">
      <w:pPr>
        <w:numPr>
          <w:ilvl w:val="0"/>
          <w:numId w:val="8"/>
        </w:numPr>
        <w:ind w:hanging="240"/>
      </w:pPr>
      <w:r>
        <w:t>Якщо консультативний висновок повні</w:t>
      </w:r>
      <w:r>
        <w:t xml:space="preserve">стю або частково не виражає одностайної думки суддів, кожний суддя має право викласти окрему думку. </w:t>
      </w:r>
    </w:p>
    <w:p w:rsidR="00AA404C" w:rsidRDefault="003F0746">
      <w:pPr>
        <w:numPr>
          <w:ilvl w:val="0"/>
          <w:numId w:val="8"/>
        </w:numPr>
        <w:spacing w:after="289"/>
        <w:ind w:hanging="240"/>
      </w:pPr>
      <w:r>
        <w:t xml:space="preserve">Консультативні висновки передаються суду, який звертається із запитом, та Високій Договірній Стороні, до якої належить така судова установа. </w:t>
      </w:r>
    </w:p>
    <w:p w:rsidR="00AA404C" w:rsidRDefault="003F0746">
      <w:pPr>
        <w:numPr>
          <w:ilvl w:val="0"/>
          <w:numId w:val="8"/>
        </w:numPr>
        <w:spacing w:after="338"/>
        <w:ind w:hanging="240"/>
      </w:pPr>
      <w:r>
        <w:t>Консультативн</w:t>
      </w:r>
      <w:r>
        <w:t xml:space="preserve">і висновки повинні бути опубліковані. </w:t>
      </w:r>
    </w:p>
    <w:p w:rsidR="00AA404C" w:rsidRDefault="003F0746">
      <w:pPr>
        <w:spacing w:after="250" w:line="268" w:lineRule="auto"/>
        <w:ind w:right="11"/>
        <w:jc w:val="center"/>
      </w:pPr>
      <w:r>
        <w:rPr>
          <w:b/>
          <w:sz w:val="27"/>
        </w:rPr>
        <w:t xml:space="preserve">Стаття 5 </w:t>
      </w:r>
    </w:p>
    <w:p w:rsidR="00AA404C" w:rsidRDefault="003F0746">
      <w:pPr>
        <w:spacing w:after="338"/>
        <w:ind w:left="-5"/>
      </w:pPr>
      <w:r>
        <w:lastRenderedPageBreak/>
        <w:t xml:space="preserve">Консультативні висновки не мають обов'язкової сили. </w:t>
      </w:r>
    </w:p>
    <w:p w:rsidR="00AA404C" w:rsidRDefault="003F0746">
      <w:pPr>
        <w:pStyle w:val="1"/>
        <w:ind w:right="11"/>
      </w:pPr>
      <w:r>
        <w:t xml:space="preserve">Стаття 6 </w:t>
      </w:r>
    </w:p>
    <w:p w:rsidR="00AA404C" w:rsidRDefault="003F0746">
      <w:pPr>
        <w:spacing w:after="332"/>
        <w:ind w:left="-5"/>
      </w:pPr>
      <w:r>
        <w:t>Високі Договірні Сторони розглядають положення статей 1 - 5 цього Протоколу як додаткові статті Конвенції, та всі положення Конвенції застосовую</w:t>
      </w:r>
      <w:r>
        <w:t xml:space="preserve">ться відповідно. </w:t>
      </w:r>
    </w:p>
    <w:p w:rsidR="00AA404C" w:rsidRDefault="003F0746">
      <w:pPr>
        <w:pStyle w:val="1"/>
        <w:spacing w:after="205"/>
        <w:ind w:right="11"/>
      </w:pPr>
      <w:r>
        <w:t xml:space="preserve">Стаття 7 </w:t>
      </w:r>
    </w:p>
    <w:p w:rsidR="00AA404C" w:rsidRDefault="003F0746">
      <w:pPr>
        <w:spacing w:after="291"/>
        <w:ind w:left="-5"/>
      </w:pPr>
      <w:r>
        <w:t xml:space="preserve">1. Цей Протокол відкритий для підписання Високими Договірними Сторонами Конвенції, які можуть висловити свою згоду на його обов'язковість шляхом: </w:t>
      </w:r>
    </w:p>
    <w:p w:rsidR="00AA404C" w:rsidRDefault="003F0746">
      <w:pPr>
        <w:numPr>
          <w:ilvl w:val="0"/>
          <w:numId w:val="9"/>
        </w:numPr>
        <w:ind w:hanging="226"/>
      </w:pPr>
      <w:r>
        <w:t xml:space="preserve">підписання без застережень щодо ратифікації, прийняття чи схвалення; або </w:t>
      </w:r>
    </w:p>
    <w:p w:rsidR="00AA404C" w:rsidRDefault="003F0746">
      <w:pPr>
        <w:numPr>
          <w:ilvl w:val="0"/>
          <w:numId w:val="9"/>
        </w:numPr>
        <w:ind w:hanging="226"/>
      </w:pPr>
      <w:r>
        <w:t xml:space="preserve">підписання, що підлягає ратифікації, прийняттю чи схваленню, з подальшою ратифікацією, прийняттям чи схваленням. </w:t>
      </w:r>
    </w:p>
    <w:p w:rsidR="00AA404C" w:rsidRDefault="003F0746">
      <w:pPr>
        <w:spacing w:after="332"/>
        <w:ind w:left="-5"/>
      </w:pPr>
      <w:r>
        <w:t xml:space="preserve">2. Ратифікаційні грамоти або документи про прийняття чи схвалення передаються на зберігання Генеральному секретарю </w:t>
      </w:r>
      <w:proofErr w:type="gramStart"/>
      <w:r>
        <w:t>Ради</w:t>
      </w:r>
      <w:proofErr w:type="gramEnd"/>
      <w:r>
        <w:t xml:space="preserve"> Європи. </w:t>
      </w:r>
    </w:p>
    <w:p w:rsidR="00AA404C" w:rsidRDefault="003F0746">
      <w:pPr>
        <w:pStyle w:val="1"/>
        <w:spacing w:after="205"/>
        <w:ind w:right="11"/>
      </w:pPr>
      <w:r>
        <w:t xml:space="preserve">Стаття 8 </w:t>
      </w:r>
    </w:p>
    <w:p w:rsidR="00AA404C" w:rsidRDefault="003F0746">
      <w:pPr>
        <w:numPr>
          <w:ilvl w:val="0"/>
          <w:numId w:val="10"/>
        </w:numPr>
        <w:spacing w:after="294"/>
      </w:pPr>
      <w:r>
        <w:t>Цей</w:t>
      </w:r>
      <w:r>
        <w:t xml:space="preserve"> Протокол набирає чинності в перший день місяця, що настає після закінчення тримісячного строку від дати, коли десять Високих Договірних Сторін Конвенції висловили свою згоду на обов'язковість для них цього Протоколу згідно з положеннями статті 7. </w:t>
      </w:r>
    </w:p>
    <w:p w:rsidR="00AA404C" w:rsidRDefault="003F0746">
      <w:pPr>
        <w:numPr>
          <w:ilvl w:val="0"/>
          <w:numId w:val="10"/>
        </w:numPr>
        <w:spacing w:after="339"/>
      </w:pPr>
      <w:r>
        <w:t>Для буд</w:t>
      </w:r>
      <w:r>
        <w:t>ь-якої Високої Договірної Сторони Конвенції, яка пізніше висловить свою згоду на обов'язковість цього Протоколу для неї, Протокол набирає чинності в перший день місяця, що настає після закінчення тримісячного строку від дати, коли така Сторона висловила св</w:t>
      </w:r>
      <w:r>
        <w:t xml:space="preserve">ою згоду на обов'язковість цього Протоколу відповідно до положень статті 7. </w:t>
      </w:r>
    </w:p>
    <w:p w:rsidR="00AA404C" w:rsidRDefault="003F0746">
      <w:pPr>
        <w:pStyle w:val="1"/>
        <w:spacing w:after="205"/>
        <w:ind w:right="11"/>
      </w:pPr>
      <w:r>
        <w:t xml:space="preserve">Стаття 9 </w:t>
      </w:r>
    </w:p>
    <w:p w:rsidR="00AA404C" w:rsidRDefault="003F0746">
      <w:pPr>
        <w:spacing w:after="333"/>
        <w:ind w:left="-5"/>
      </w:pPr>
      <w:r>
        <w:t xml:space="preserve">Жодне застереження до положень цього Протоколу на підставі статті 57 Конвенції не допускається. </w:t>
      </w:r>
    </w:p>
    <w:p w:rsidR="00AA404C" w:rsidRDefault="003F0746">
      <w:pPr>
        <w:pStyle w:val="1"/>
        <w:spacing w:after="205"/>
        <w:ind w:right="9"/>
      </w:pPr>
      <w:r>
        <w:t xml:space="preserve">Стаття 10 </w:t>
      </w:r>
    </w:p>
    <w:p w:rsidR="00AA404C" w:rsidRDefault="003F0746">
      <w:pPr>
        <w:spacing w:after="338"/>
        <w:ind w:left="-5"/>
      </w:pPr>
      <w:r>
        <w:t>Кожна Висока Договірна Сторона Конвенції при підписанні або д</w:t>
      </w:r>
      <w:r>
        <w:t xml:space="preserve">епонуванні своїх ратифікаційних грамот чи документів про прийняття або схвалення, адресованих Генеральному Секретарю Ради Європи, вказує судові установи, визначені для цілей пункту 1 статті 1 цього Протоколу. Ця заява може бути змінена пізніше у будь-який </w:t>
      </w:r>
      <w:r>
        <w:t xml:space="preserve">час і таким самим чином. </w:t>
      </w:r>
    </w:p>
    <w:p w:rsidR="00AA404C" w:rsidRDefault="003F0746">
      <w:pPr>
        <w:pStyle w:val="1"/>
        <w:ind w:right="9"/>
      </w:pPr>
      <w:r>
        <w:t xml:space="preserve">Стаття 11 </w:t>
      </w:r>
    </w:p>
    <w:p w:rsidR="00AA404C" w:rsidRDefault="003F0746">
      <w:pPr>
        <w:spacing w:after="289"/>
        <w:ind w:left="-5"/>
      </w:pPr>
      <w:r>
        <w:t xml:space="preserve">Генеральний секретар </w:t>
      </w:r>
      <w:proofErr w:type="gramStart"/>
      <w:r>
        <w:t>Ради</w:t>
      </w:r>
      <w:proofErr w:type="gramEnd"/>
      <w:r>
        <w:t xml:space="preserve"> Європи повідомляє всі держави - члени Ради Європи та інші Високі Договірні Сторони Конвенції про: </w:t>
      </w:r>
    </w:p>
    <w:p w:rsidR="00AA404C" w:rsidRDefault="003F0746">
      <w:pPr>
        <w:numPr>
          <w:ilvl w:val="0"/>
          <w:numId w:val="11"/>
        </w:numPr>
        <w:spacing w:after="292"/>
        <w:ind w:hanging="240"/>
      </w:pPr>
      <w:r>
        <w:lastRenderedPageBreak/>
        <w:t xml:space="preserve">будь-яке підписання; </w:t>
      </w:r>
    </w:p>
    <w:p w:rsidR="00AA404C" w:rsidRDefault="003F0746">
      <w:pPr>
        <w:numPr>
          <w:ilvl w:val="0"/>
          <w:numId w:val="11"/>
        </w:numPr>
        <w:spacing w:after="291"/>
        <w:ind w:hanging="240"/>
      </w:pPr>
      <w:r>
        <w:t>депонування будь-якої ратифікаційної грамоти чи будь-якого документа про</w:t>
      </w:r>
      <w:r>
        <w:t xml:space="preserve"> прийняття або схвалення; </w:t>
      </w:r>
    </w:p>
    <w:p w:rsidR="00AA404C" w:rsidRDefault="003F0746">
      <w:pPr>
        <w:numPr>
          <w:ilvl w:val="0"/>
          <w:numId w:val="11"/>
        </w:numPr>
        <w:spacing w:after="293"/>
        <w:ind w:hanging="240"/>
      </w:pPr>
      <w:r>
        <w:t xml:space="preserve">дату набрання чинності цим Протоколом згідно зі статтею 8; </w:t>
      </w:r>
    </w:p>
    <w:p w:rsidR="00AA404C" w:rsidRDefault="003F0746">
      <w:pPr>
        <w:numPr>
          <w:ilvl w:val="0"/>
          <w:numId w:val="11"/>
        </w:numPr>
        <w:spacing w:after="291"/>
        <w:ind w:hanging="240"/>
      </w:pPr>
      <w:r>
        <w:t xml:space="preserve">будь-яку заяву, зроблену відповідно до статті 10; та </w:t>
      </w:r>
    </w:p>
    <w:p w:rsidR="00AA404C" w:rsidRDefault="003F0746">
      <w:pPr>
        <w:numPr>
          <w:ilvl w:val="0"/>
          <w:numId w:val="11"/>
        </w:numPr>
        <w:ind w:hanging="240"/>
      </w:pPr>
      <w:r>
        <w:t xml:space="preserve">будь-яку іншу дію, повідомлення чи сповіщення, що стосуються цього Протоколу. </w:t>
      </w:r>
    </w:p>
    <w:p w:rsidR="00AA404C" w:rsidRDefault="003F0746">
      <w:pPr>
        <w:ind w:left="-5"/>
      </w:pPr>
      <w:r>
        <w:t xml:space="preserve">На посвідчення чого ті, що підписалися нижче, належним чином на те уповноважені, підписали цей Протокол. </w:t>
      </w:r>
    </w:p>
    <w:p w:rsidR="00AA404C" w:rsidRDefault="003F0746">
      <w:pPr>
        <w:ind w:left="-5"/>
      </w:pPr>
      <w:r>
        <w:t>Учинено у м. Страсбурзі 2 жовтня 2013 року англійською і французькою мовами, при цьому обидва тексти є рівно автентичними, в одному примірнику, який з</w:t>
      </w:r>
      <w:r>
        <w:t xml:space="preserve">берігається в архіві </w:t>
      </w:r>
      <w:proofErr w:type="gramStart"/>
      <w:r>
        <w:t>Ради</w:t>
      </w:r>
      <w:proofErr w:type="gramEnd"/>
      <w:r>
        <w:t xml:space="preserve"> Європи. Генеральний секретар </w:t>
      </w:r>
      <w:proofErr w:type="gramStart"/>
      <w:r>
        <w:t>Ради</w:t>
      </w:r>
      <w:proofErr w:type="gramEnd"/>
      <w:r>
        <w:t xml:space="preserve"> Європи надсилає засвідчені копії цього Протоколу кожній державі - члену Ради Європи та іншим Високим Договірним Сторонам Конвенції. ____________ </w:t>
      </w:r>
    </w:p>
    <w:p w:rsidR="00AA404C" w:rsidRDefault="003F0746">
      <w:pPr>
        <w:spacing w:after="254" w:line="259" w:lineRule="auto"/>
        <w:ind w:left="0" w:firstLine="0"/>
        <w:jc w:val="left"/>
      </w:pPr>
      <w:r>
        <w:t xml:space="preserve">  </w:t>
      </w:r>
    </w:p>
    <w:p w:rsidR="00AA404C" w:rsidRDefault="003F0746">
      <w:pPr>
        <w:spacing w:after="0" w:line="259" w:lineRule="auto"/>
        <w:ind w:left="0" w:firstLine="0"/>
        <w:jc w:val="left"/>
      </w:pPr>
      <w:r>
        <w:t xml:space="preserve"> </w:t>
      </w:r>
    </w:p>
    <w:sectPr w:rsidR="00AA404C">
      <w:pgSz w:w="11906" w:h="16838"/>
      <w:pgMar w:top="852" w:right="845" w:bottom="101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421F8"/>
    <w:multiLevelType w:val="hybridMultilevel"/>
    <w:tmpl w:val="D65CFE48"/>
    <w:lvl w:ilvl="0" w:tplc="9D0EA5B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588B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46BA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D4D5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4EEF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C858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205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E65D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6E04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AF2F4A"/>
    <w:multiLevelType w:val="hybridMultilevel"/>
    <w:tmpl w:val="CF5A241E"/>
    <w:lvl w:ilvl="0" w:tplc="D8FE3A26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A4B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6E49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86D6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64A7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DE78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A20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1035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D852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B35AF7"/>
    <w:multiLevelType w:val="hybridMultilevel"/>
    <w:tmpl w:val="D8282C54"/>
    <w:lvl w:ilvl="0" w:tplc="F768F39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C46C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92FD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053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FCFF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0E79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7877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7406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3222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2C5CAE"/>
    <w:multiLevelType w:val="hybridMultilevel"/>
    <w:tmpl w:val="6D64FF72"/>
    <w:lvl w:ilvl="0" w:tplc="5BAAED52">
      <w:start w:val="1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CC88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235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7C79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C401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3AF4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E8E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1A4A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1C57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C63E7A"/>
    <w:multiLevelType w:val="hybridMultilevel"/>
    <w:tmpl w:val="08BEAD60"/>
    <w:lvl w:ilvl="0" w:tplc="AE04527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8E6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CCA6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A026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FA50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AEE5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94C9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8A11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6E6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4803A5"/>
    <w:multiLevelType w:val="hybridMultilevel"/>
    <w:tmpl w:val="FAFE8F1C"/>
    <w:lvl w:ilvl="0" w:tplc="9EEC2CD0">
      <w:start w:val="1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C4B0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A469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2885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AE7B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B8AE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D81B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484B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D67C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88508AC"/>
    <w:multiLevelType w:val="hybridMultilevel"/>
    <w:tmpl w:val="CEAEA73C"/>
    <w:lvl w:ilvl="0" w:tplc="45622BB4">
      <w:start w:val="1"/>
      <w:numFmt w:val="lowerLetter"/>
      <w:lvlText w:val="%1.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5ADE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C6B7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FC77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903E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E4F0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0651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891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FA1C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E1852F6"/>
    <w:multiLevelType w:val="hybridMultilevel"/>
    <w:tmpl w:val="BFD854E6"/>
    <w:lvl w:ilvl="0" w:tplc="83CC911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0C44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BA7D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6A1D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033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0676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CC65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BE1A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F058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C9A7013"/>
    <w:multiLevelType w:val="hybridMultilevel"/>
    <w:tmpl w:val="D4148AD6"/>
    <w:lvl w:ilvl="0" w:tplc="D130A99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3E1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5CC4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E4EE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14BB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FC9C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D66C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EA40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8F8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1FD1BC0"/>
    <w:multiLevelType w:val="hybridMultilevel"/>
    <w:tmpl w:val="B8F65C0A"/>
    <w:lvl w:ilvl="0" w:tplc="49B61BD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8238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DEF0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42BE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E699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6E88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2E56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884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8A52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5CC07C1"/>
    <w:multiLevelType w:val="hybridMultilevel"/>
    <w:tmpl w:val="3D52E488"/>
    <w:lvl w:ilvl="0" w:tplc="BCFCB190">
      <w:start w:val="1"/>
      <w:numFmt w:val="lowerLetter"/>
      <w:lvlText w:val="%1.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4854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10D4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C24E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E5A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446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BA49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8443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C0A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4C"/>
    <w:rsid w:val="003F0746"/>
    <w:rsid w:val="00AA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B73A4-4804-47A8-AAC5-0D9FB85F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4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0" w:line="268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2</cp:revision>
  <dcterms:created xsi:type="dcterms:W3CDTF">2017-11-04T09:19:00Z</dcterms:created>
  <dcterms:modified xsi:type="dcterms:W3CDTF">2017-11-04T09:19:00Z</dcterms:modified>
</cp:coreProperties>
</file>